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6DD13C" w14:textId="532BD270" w:rsidR="00585B5A" w:rsidRPr="006E2B12" w:rsidRDefault="00585B5A" w:rsidP="00585B5A">
      <w:pPr>
        <w:pStyle w:val="3GPPHeader"/>
        <w:spacing w:after="60"/>
        <w:rPr>
          <w:sz w:val="28"/>
          <w:szCs w:val="28"/>
        </w:rPr>
      </w:pPr>
      <w:bookmarkStart w:id="0" w:name="_Ref298777854"/>
      <w:r w:rsidRPr="00CE0424">
        <w:t>3GPP TSG-</w:t>
      </w:r>
      <w:r w:rsidRPr="006E2B12">
        <w:t>RAN WG2 #101</w:t>
      </w:r>
      <w:r w:rsidRPr="006E2B12">
        <w:rPr>
          <w:sz w:val="28"/>
          <w:szCs w:val="28"/>
        </w:rPr>
        <w:tab/>
      </w:r>
      <w:r w:rsidR="008F42DC" w:rsidRPr="006E2B12">
        <w:rPr>
          <w:sz w:val="28"/>
          <w:szCs w:val="28"/>
        </w:rPr>
        <w:t>R2-1802637</w:t>
      </w:r>
    </w:p>
    <w:p w14:paraId="7C00E321" w14:textId="2EF7AEBC" w:rsidR="00585B5A" w:rsidRPr="006E2B12" w:rsidRDefault="00585B5A" w:rsidP="00585B5A">
      <w:pPr>
        <w:pStyle w:val="3GPPHeader"/>
      </w:pPr>
      <w:r w:rsidRPr="006E2B12">
        <w:t>Athens, Greece, 26</w:t>
      </w:r>
      <w:r w:rsidRPr="006E2B12">
        <w:rPr>
          <w:vertAlign w:val="superscript"/>
        </w:rPr>
        <w:t>th</w:t>
      </w:r>
      <w:r w:rsidRPr="006E2B12">
        <w:t xml:space="preserve"> February – 2</w:t>
      </w:r>
      <w:r w:rsidRPr="006E2B12">
        <w:rPr>
          <w:vertAlign w:val="superscript"/>
        </w:rPr>
        <w:t>nd</w:t>
      </w:r>
      <w:r w:rsidRPr="006E2B12">
        <w:t xml:space="preserve"> March 2018</w:t>
      </w:r>
      <w:r w:rsidRPr="006E2B12">
        <w:rPr>
          <w:sz w:val="28"/>
          <w:szCs w:val="28"/>
        </w:rPr>
        <w:tab/>
      </w:r>
      <w:r w:rsidRPr="006E2B12">
        <w:rPr>
          <w:szCs w:val="24"/>
        </w:rPr>
        <w:t xml:space="preserve">(Revision of </w:t>
      </w:r>
      <w:r w:rsidRPr="006E2B12">
        <w:t>R2-1800379</w:t>
      </w:r>
      <w:r w:rsidRPr="006E2B12">
        <w:rPr>
          <w:szCs w:val="24"/>
        </w:rPr>
        <w:t>)</w:t>
      </w:r>
    </w:p>
    <w:p w14:paraId="7BB9214A" w14:textId="77777777" w:rsidR="00614CBD" w:rsidRPr="006E2B12" w:rsidRDefault="00614CBD" w:rsidP="00614CBD">
      <w:pPr>
        <w:pStyle w:val="3GPPHeader"/>
        <w:spacing w:after="60"/>
        <w:rPr>
          <w:b w:val="0"/>
          <w:noProof/>
        </w:rPr>
      </w:pPr>
    </w:p>
    <w:p w14:paraId="46F23DB6" w14:textId="66A77F2E" w:rsidR="008F214C" w:rsidRPr="006E2B12" w:rsidRDefault="008F214C" w:rsidP="008F214C">
      <w:pPr>
        <w:pStyle w:val="3GPPHeader"/>
        <w:rPr>
          <w:sz w:val="22"/>
          <w:szCs w:val="22"/>
          <w:lang w:val="en-US"/>
        </w:rPr>
      </w:pPr>
      <w:r w:rsidRPr="006E2B12">
        <w:rPr>
          <w:sz w:val="22"/>
          <w:szCs w:val="22"/>
          <w:lang w:val="en-US"/>
        </w:rPr>
        <w:t>Agenda Item:</w:t>
      </w:r>
      <w:r w:rsidRPr="006E2B12">
        <w:rPr>
          <w:sz w:val="22"/>
          <w:szCs w:val="22"/>
          <w:lang w:val="en-US"/>
        </w:rPr>
        <w:tab/>
      </w:r>
      <w:r w:rsidR="0030492A" w:rsidRPr="006E2B12">
        <w:rPr>
          <w:sz w:val="22"/>
          <w:szCs w:val="22"/>
          <w:lang w:val="en-US"/>
        </w:rPr>
        <w:t>10.2.</w:t>
      </w:r>
      <w:r w:rsidR="00205143" w:rsidRPr="006E2B12">
        <w:rPr>
          <w:sz w:val="22"/>
          <w:szCs w:val="22"/>
          <w:lang w:val="en-US"/>
        </w:rPr>
        <w:t>1</w:t>
      </w:r>
      <w:r w:rsidR="00614CBD" w:rsidRPr="006E2B12">
        <w:rPr>
          <w:sz w:val="22"/>
          <w:szCs w:val="22"/>
          <w:lang w:val="en-US"/>
        </w:rPr>
        <w:t>0</w:t>
      </w:r>
    </w:p>
    <w:p w14:paraId="5636400A" w14:textId="77777777" w:rsidR="008F214C" w:rsidRPr="006E2B12" w:rsidRDefault="008F214C" w:rsidP="008F214C">
      <w:pPr>
        <w:pStyle w:val="3GPPHeader"/>
        <w:rPr>
          <w:sz w:val="22"/>
          <w:szCs w:val="22"/>
        </w:rPr>
      </w:pPr>
      <w:r w:rsidRPr="006E2B12">
        <w:rPr>
          <w:sz w:val="22"/>
          <w:szCs w:val="22"/>
        </w:rPr>
        <w:t>Source:</w:t>
      </w:r>
      <w:r w:rsidRPr="006E2B12">
        <w:rPr>
          <w:sz w:val="22"/>
          <w:szCs w:val="22"/>
        </w:rPr>
        <w:tab/>
        <w:t>Ericsson</w:t>
      </w:r>
    </w:p>
    <w:p w14:paraId="7A43A010" w14:textId="17645AE8" w:rsidR="008F214C" w:rsidRPr="00473217" w:rsidRDefault="008F214C" w:rsidP="008F214C">
      <w:pPr>
        <w:pStyle w:val="3GPPHeader"/>
        <w:rPr>
          <w:sz w:val="22"/>
          <w:szCs w:val="22"/>
        </w:rPr>
      </w:pPr>
      <w:r w:rsidRPr="006E2B12">
        <w:rPr>
          <w:sz w:val="22"/>
          <w:szCs w:val="22"/>
        </w:rPr>
        <w:t>Title:</w:t>
      </w:r>
      <w:r w:rsidRPr="006E2B12">
        <w:rPr>
          <w:sz w:val="22"/>
          <w:szCs w:val="22"/>
        </w:rPr>
        <w:tab/>
      </w:r>
      <w:r w:rsidR="00461F9F" w:rsidRPr="006E2B12">
        <w:rPr>
          <w:sz w:val="22"/>
          <w:szCs w:val="22"/>
        </w:rPr>
        <w:t>Key refresh</w:t>
      </w:r>
      <w:r w:rsidR="00461F9F" w:rsidRPr="00473217">
        <w:rPr>
          <w:sz w:val="22"/>
          <w:szCs w:val="22"/>
        </w:rPr>
        <w:t xml:space="preserve"> </w:t>
      </w:r>
      <w:r w:rsidR="008E6774">
        <w:rPr>
          <w:sz w:val="22"/>
          <w:szCs w:val="22"/>
        </w:rPr>
        <w:t xml:space="preserve">at handover </w:t>
      </w:r>
      <w:r w:rsidR="00461F9F" w:rsidRPr="00473217">
        <w:rPr>
          <w:sz w:val="22"/>
          <w:szCs w:val="22"/>
        </w:rPr>
        <w:t>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25B4072B" w:rsidR="00A064CC" w:rsidRDefault="00A064CC" w:rsidP="00A064CC">
      <w:r>
        <w:t>Currently in LTE a handover always includes a key change. The motivation for this was so that the RAN context is refreshed at inter-</w:t>
      </w:r>
      <w:proofErr w:type="spellStart"/>
      <w:r>
        <w:t>eNB</w:t>
      </w:r>
      <w:proofErr w:type="spellEnd"/>
      <w:r>
        <w:t xml:space="preserve"> handover making it possible to provide forward and backwards security (preventing that a compromised key can be used in other </w:t>
      </w:r>
      <w:proofErr w:type="spellStart"/>
      <w:r>
        <w:t>eN</w:t>
      </w:r>
      <w:bookmarkStart w:id="1" w:name="_GoBack"/>
      <w:bookmarkEnd w:id="1"/>
      <w:r>
        <w:t>Bs</w:t>
      </w:r>
      <w:proofErr w:type="spellEnd"/>
      <w:r>
        <w:t>).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4C64B18B" w14:textId="794F8221" w:rsidR="0048412E"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7A403541" w14:textId="5B706FB9" w:rsidR="00443B5C" w:rsidRDefault="00443B5C" w:rsidP="00A064CC">
      <w:r>
        <w:t xml:space="preserve">The contribution has been updated with latest SA3 agreements on key derivation for NR. </w:t>
      </w:r>
    </w:p>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w:t>
      </w:r>
      <w:proofErr w:type="spellStart"/>
      <w:r w:rsidR="005B40BD">
        <w:t>eNB</w:t>
      </w:r>
      <w:proofErr w:type="spellEnd"/>
      <w:r w:rsidR="005B40BD">
        <w:t>).</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48B3E6E" w:rsidR="00FD18A0" w:rsidRDefault="005B40BD" w:rsidP="00A064CC">
      <w:r>
        <w:t xml:space="preserve">For NR it </w:t>
      </w:r>
      <w:r w:rsidR="00026C92">
        <w:t xml:space="preserve">has been agreed that it should be </w:t>
      </w:r>
      <w:r w:rsidR="001807F6">
        <w:t xml:space="preserve">a network decision if key change should be performed at handover, making it possible to avoid key changes </w:t>
      </w:r>
      <w:proofErr w:type="gramStart"/>
      <w:r w:rsidR="001807F6">
        <w:t>as long as</w:t>
      </w:r>
      <w:proofErr w:type="gramEnd"/>
      <w:r w:rsidR="001807F6">
        <w:t xml:space="preserve"> the UE is moving within the same RAN node</w:t>
      </w:r>
      <w:r w:rsidR="00CD1513">
        <w:t xml:space="preserve"> (PDCP </w:t>
      </w:r>
      <w:r w:rsidR="00CD1513">
        <w:lastRenderedPageBreak/>
        <w:t>termination point)</w:t>
      </w:r>
      <w:r w:rsidR="001807F6">
        <w:t xml:space="preserve">. Security wise the solution should have similar properties as LTE, since key refresh is still possible to trigger at any time, even at every handover when desired. </w:t>
      </w:r>
    </w:p>
    <w:p w14:paraId="0443CC1B" w14:textId="14AC5ACC" w:rsidR="00A064CC" w:rsidRDefault="005B40BD" w:rsidP="00A064CC">
      <w:r>
        <w:t xml:space="preserve">The following proposals are made regarding key change </w:t>
      </w:r>
      <w:r w:rsidR="007C02EF">
        <w:t xml:space="preserve">at handover </w:t>
      </w:r>
      <w:r>
        <w:t>in NR:</w:t>
      </w:r>
    </w:p>
    <w:p w14:paraId="4901531A" w14:textId="6D75C877" w:rsidR="008B4CA2" w:rsidRDefault="005B40BD">
      <w:pPr>
        <w:ind w:left="1418" w:hanging="1418"/>
        <w:rPr>
          <w:b/>
        </w:rPr>
      </w:pPr>
      <w:r>
        <w:rPr>
          <w:b/>
        </w:rPr>
        <w:t xml:space="preserve">Proposal </w:t>
      </w:r>
      <w:r w:rsidR="008B4CA2">
        <w:rPr>
          <w:b/>
        </w:rPr>
        <w:t>1</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5A987377" w:rsidR="00624C8A" w:rsidRDefault="005B40BD" w:rsidP="00FD18A0">
      <w:pPr>
        <w:ind w:left="1418" w:hanging="1418"/>
      </w:pPr>
      <w:r>
        <w:rPr>
          <w:b/>
        </w:rPr>
        <w:t xml:space="preserve">Proposal </w:t>
      </w:r>
      <w:r w:rsidR="008B4CA2">
        <w:rPr>
          <w:b/>
        </w:rPr>
        <w:t>2</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59F8D091" w14:textId="19389C07" w:rsidR="008B4CA2" w:rsidRPr="008B4CA2" w:rsidRDefault="00EA5062" w:rsidP="008B4CA2">
      <w:r>
        <w:t>It is also expected that key</w:t>
      </w:r>
      <w:r w:rsidR="009A6511">
        <w:t xml:space="preserve"> refresh </w:t>
      </w:r>
      <w:r>
        <w:t xml:space="preserve">will be performed </w:t>
      </w:r>
      <w:r w:rsidR="00497227">
        <w:t xml:space="preserve">at state transition from RRC_INACTIVE </w:t>
      </w:r>
      <w:r w:rsidR="009A6511">
        <w:t xml:space="preserve">to </w:t>
      </w:r>
      <w:r w:rsidR="00497227">
        <w:t>RRC_CONNECTED</w:t>
      </w:r>
      <w:r w:rsidR="009A6511">
        <w:t xml:space="preserve"> </w:t>
      </w:r>
      <w:r w:rsidR="00176F4A">
        <w:t xml:space="preserve">as well </w:t>
      </w:r>
      <w:r w:rsidR="006E74F9">
        <w:t xml:space="preserve">as </w:t>
      </w:r>
      <w:r w:rsidR="00176F4A">
        <w:t>during</w:t>
      </w:r>
      <w:r w:rsidR="009A6511">
        <w:t xml:space="preserve"> </w:t>
      </w:r>
      <w:r w:rsidR="009A6511" w:rsidRPr="009A6511">
        <w:t>RRC connection re-establishment</w:t>
      </w:r>
      <w:r w:rsidR="009A6511">
        <w:t xml:space="preserve">. Whether key refresh </w:t>
      </w:r>
      <w:r w:rsidR="00902E6A">
        <w:t xml:space="preserve">is </w:t>
      </w:r>
      <w:r w:rsidR="009A6511">
        <w:t xml:space="preserve">always required at </w:t>
      </w:r>
      <w:r w:rsidR="00176F4A">
        <w:t xml:space="preserve">state transition from </w:t>
      </w:r>
      <w:r w:rsidR="00902E6A">
        <w:t xml:space="preserve">RRC_INACTIVE to RRC_CONNECTED </w:t>
      </w:r>
      <w:r w:rsidR="00176F4A" w:rsidRPr="009A6511">
        <w:t xml:space="preserve">is </w:t>
      </w:r>
      <w:r w:rsidR="006E74F9">
        <w:t xml:space="preserve">not in scope of this paper and is </w:t>
      </w:r>
      <w:r w:rsidR="00176F4A" w:rsidRPr="009A6511">
        <w:t xml:space="preserve">expected to be treated as part of the discussion on connection </w:t>
      </w:r>
      <w:r w:rsidR="006E74F9">
        <w:t>control</w:t>
      </w:r>
      <w:r>
        <w:t>.</w:t>
      </w:r>
    </w:p>
    <w:p w14:paraId="5101E498" w14:textId="28CA7826" w:rsidR="00665FEE" w:rsidRDefault="00665FEE" w:rsidP="00665FEE">
      <w:pPr>
        <w:pStyle w:val="Heading1"/>
      </w:pPr>
      <w:r>
        <w:t>Input parameters for key refresh</w:t>
      </w:r>
    </w:p>
    <w:p w14:paraId="7A7023B7" w14:textId="498812F1" w:rsidR="007B3A1C" w:rsidRDefault="00833738" w:rsidP="00782B37">
      <w:r>
        <w:t>In SA3 it has been agreed (33.501 clause 8.3.1.1.1) to use the</w:t>
      </w:r>
      <w:r w:rsidR="006231AC">
        <w:t xml:space="preserve"> target </w:t>
      </w:r>
      <w:r>
        <w:t xml:space="preserve">PCI and </w:t>
      </w:r>
      <w:r w:rsidR="006231AC">
        <w:t xml:space="preserve">its frequency ARFCN-DL as input to the </w:t>
      </w:r>
      <w:proofErr w:type="spellStart"/>
      <w:r w:rsidR="006231AC">
        <w:t>KgNB</w:t>
      </w:r>
      <w:proofErr w:type="spellEnd"/>
      <w:r w:rsidR="006231AC">
        <w:t xml:space="preserve"> used in the target cell. </w:t>
      </w:r>
    </w:p>
    <w:p w14:paraId="520F69E8" w14:textId="73D2ECF2"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D36F941" w14:textId="0A45F0B3" w:rsidR="00436EA4" w:rsidRDefault="006231AC" w:rsidP="00782B37">
      <w:r>
        <w:t>In LTE t</w:t>
      </w:r>
      <w:r w:rsidR="007F52E7">
        <w:t xml:space="preserve">he procedure above is used both at handover and connection re-establishment/resume. </w:t>
      </w:r>
    </w:p>
    <w:p w14:paraId="31C1EE30" w14:textId="0B7705C1" w:rsidR="00902E6A" w:rsidRDefault="007F52E7" w:rsidP="00BA0212">
      <w:r>
        <w:t>W</w:t>
      </w:r>
      <w:r w:rsidR="00C26837">
        <w:t>hen it comes to providing the N</w:t>
      </w:r>
      <w:r>
        <w:t xml:space="preserve">CC </w:t>
      </w:r>
      <w:r w:rsidR="006231AC">
        <w:t xml:space="preserve">(which is used to indicate to the UE if horizontal or vertical key derivation shall be performed) </w:t>
      </w:r>
      <w:r>
        <w:t xml:space="preserve">it </w:t>
      </w:r>
      <w:r w:rsidR="00A944CF">
        <w:t xml:space="preserve">can be provided in the handover command as in LTE. For </w:t>
      </w:r>
      <w:r w:rsidR="00902E6A">
        <w:t xml:space="preserve">the </w:t>
      </w:r>
      <w:r w:rsidR="00A944CF">
        <w:t>resume like procedure used when performing transition from RRC_INACTIVE</w:t>
      </w:r>
      <w:r w:rsidR="00902E6A">
        <w:t>,</w:t>
      </w:r>
      <w:r w:rsidR="00A944CF">
        <w:t xml:space="preserve"> </w:t>
      </w:r>
      <w:r w:rsidR="00497227">
        <w:t xml:space="preserve">the NCC </w:t>
      </w:r>
      <w:r w:rsidR="00902E6A">
        <w:t>can either be</w:t>
      </w:r>
      <w:r w:rsidR="00497227">
        <w:t xml:space="preserve"> </w:t>
      </w:r>
      <w:r w:rsidR="00902E6A">
        <w:t xml:space="preserve">provided in MSG4 </w:t>
      </w:r>
      <w:proofErr w:type="gramStart"/>
      <w:r w:rsidR="00902E6A">
        <w:t>similar to</w:t>
      </w:r>
      <w:proofErr w:type="gramEnd"/>
      <w:r w:rsidR="00902E6A">
        <w:t xml:space="preserve"> LTE, or it can be provided in advance in the message that ordered the UE to inactive (e.g. </w:t>
      </w:r>
      <w:proofErr w:type="spellStart"/>
      <w:r w:rsidR="00902E6A">
        <w:t>RRCConnectionRelease</w:t>
      </w:r>
      <w:proofErr w:type="spellEnd"/>
      <w:r w:rsidR="00902E6A">
        <w:t xml:space="preserve">). </w:t>
      </w:r>
      <w:r w:rsidR="00EC5730">
        <w:t xml:space="preserve">Similar options exist also for connection re-establishment. </w:t>
      </w:r>
      <w:r w:rsidR="00902E6A">
        <w:t xml:space="preserve">Here we do not </w:t>
      </w:r>
      <w:r w:rsidR="00EC5730">
        <w:t xml:space="preserve">aim to make a comparison or selection between the two options; we just note that NCC can be provided and that </w:t>
      </w:r>
      <w:r w:rsidR="00D25F62">
        <w:t xml:space="preserve">will it be used for the key derivation at </w:t>
      </w:r>
      <w:r w:rsidR="006C7FAE">
        <w:t xml:space="preserve">resume and </w:t>
      </w:r>
      <w:r w:rsidR="00D25F62">
        <w:t>re-establishment</w:t>
      </w:r>
      <w:r w:rsidR="00EC5730">
        <w:t xml:space="preserve"> </w:t>
      </w:r>
    </w:p>
    <w:p w14:paraId="3E89A32C" w14:textId="4CC2B6F3" w:rsidR="007C55C8" w:rsidRDefault="007C55C8" w:rsidP="006356EC">
      <w:pPr>
        <w:ind w:left="1418" w:hanging="1418"/>
        <w:rPr>
          <w:b/>
        </w:rPr>
      </w:pPr>
      <w:r>
        <w:rPr>
          <w:b/>
        </w:rPr>
        <w:t xml:space="preserve">Proposal </w:t>
      </w:r>
      <w:r w:rsidR="008B4CA2">
        <w:rPr>
          <w:b/>
        </w:rPr>
        <w:t>3</w:t>
      </w:r>
      <w:r w:rsidR="006356EC">
        <w:rPr>
          <w:b/>
        </w:rPr>
        <w:tab/>
      </w:r>
      <w:r w:rsidR="00D25F62">
        <w:rPr>
          <w:b/>
        </w:rPr>
        <w:t xml:space="preserve">NCC is used as input for the key derivation at handover and RRC connection resume/re-establishment.  </w:t>
      </w:r>
    </w:p>
    <w:p w14:paraId="7CFCBCC6" w14:textId="3F327BCD" w:rsidR="001B048D" w:rsidRDefault="001B048D" w:rsidP="001B048D">
      <w:pPr>
        <w:ind w:left="1418" w:hanging="1418"/>
        <w:rPr>
          <w:b/>
        </w:rPr>
      </w:pPr>
      <w:r w:rsidRPr="001B048D">
        <w:rPr>
          <w:b/>
        </w:rPr>
        <w:t xml:space="preserve">Proposal </w:t>
      </w:r>
      <w:r w:rsidR="008B4CA2">
        <w:rPr>
          <w:b/>
        </w:rPr>
        <w:t>4</w:t>
      </w:r>
      <w:r>
        <w:rPr>
          <w:b/>
        </w:rPr>
        <w:tab/>
      </w:r>
      <w:r w:rsidR="006231AC">
        <w:rPr>
          <w:b/>
        </w:rPr>
        <w:t>Confirm SA3 assumption that a</w:t>
      </w:r>
      <w:r>
        <w:rPr>
          <w:b/>
        </w:rPr>
        <w:t xml:space="preserve">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proofErr w:type="gramStart"/>
      <w:r w:rsidR="004C017B">
        <w:t>similar to</w:t>
      </w:r>
      <w:proofErr w:type="gramEnd"/>
      <w:r w:rsidR="004C017B">
        <w:t xml:space="preserve"> the </w:t>
      </w:r>
      <w:r w:rsidR="004C017B" w:rsidRPr="004C017B">
        <w:t>“PCI” and “EARFCN-DL”</w:t>
      </w:r>
      <w:r w:rsidR="004C017B">
        <w:t>.</w:t>
      </w:r>
    </w:p>
    <w:p w14:paraId="357874E1" w14:textId="448B034F" w:rsidR="004C017B" w:rsidRDefault="004C017B" w:rsidP="004C017B">
      <w:pPr>
        <w:ind w:left="1418" w:hanging="1418"/>
        <w:rPr>
          <w:b/>
        </w:rPr>
      </w:pPr>
      <w:r w:rsidRPr="001B048D">
        <w:rPr>
          <w:b/>
        </w:rPr>
        <w:t xml:space="preserve">Proposal </w:t>
      </w:r>
      <w:r w:rsidR="008B4CA2">
        <w:rPr>
          <w:b/>
        </w:rPr>
        <w:t>5</w:t>
      </w:r>
      <w:r>
        <w:rPr>
          <w:b/>
        </w:rPr>
        <w:tab/>
        <w:t>At state transition from RRC_INACTIVE and at re-establishment the UE should use the “PCI” and “EARFCN-DL” parameter (or equivalent NR parameters) as input to the key derivation</w:t>
      </w:r>
    </w:p>
    <w:p w14:paraId="7F60361B" w14:textId="0215FA42" w:rsidR="004C017B" w:rsidRDefault="004C017B" w:rsidP="004C017B">
      <w:pPr>
        <w:pStyle w:val="Heading1"/>
      </w:pPr>
      <w:r>
        <w:t>Conclusion</w:t>
      </w:r>
    </w:p>
    <w:p w14:paraId="09EAEC0E" w14:textId="05C5DDB7" w:rsidR="00D679D4" w:rsidRDefault="00D679D4" w:rsidP="00D679D4">
      <w:pPr>
        <w:ind w:left="1418" w:hanging="1418"/>
        <w:rPr>
          <w:b/>
        </w:rPr>
      </w:pPr>
      <w:r>
        <w:rPr>
          <w:b/>
        </w:rPr>
        <w:t xml:space="preserve">Proposal </w:t>
      </w:r>
      <w:r w:rsidR="007F4E41">
        <w:rPr>
          <w:b/>
        </w:rPr>
        <w:t>1</w:t>
      </w:r>
      <w:r>
        <w:rPr>
          <w:b/>
        </w:rPr>
        <w:tab/>
        <w:t xml:space="preserve">Key re-fresh at RRC handover shall be supported when ordered by the network. There shall be an indication in the handover command indicating to the UE if the key shall be changed. </w:t>
      </w:r>
    </w:p>
    <w:p w14:paraId="146E8E42" w14:textId="12D75C39" w:rsidR="00D679D4" w:rsidRDefault="00D679D4" w:rsidP="00D679D4">
      <w:pPr>
        <w:ind w:left="1418" w:hanging="1418"/>
      </w:pPr>
      <w:r>
        <w:rPr>
          <w:b/>
        </w:rPr>
        <w:t xml:space="preserve">Proposal </w:t>
      </w:r>
      <w:r w:rsidR="007F4E41">
        <w:rPr>
          <w:b/>
        </w:rPr>
        <w:t>2</w:t>
      </w:r>
      <w:r>
        <w:rPr>
          <w:b/>
        </w:rPr>
        <w:tab/>
        <w:t xml:space="preserve">Key re-fresh at RRC handover (triggered by the network) shall also be used for intra-node key refresh when needed. </w:t>
      </w:r>
    </w:p>
    <w:p w14:paraId="229AFEF6" w14:textId="6AF9A6A9" w:rsidR="008B4CA2" w:rsidRDefault="00DB6092" w:rsidP="008B4CA2">
      <w:pPr>
        <w:ind w:left="1418" w:hanging="1418"/>
        <w:rPr>
          <w:b/>
        </w:rPr>
      </w:pPr>
      <w:r>
        <w:rPr>
          <w:b/>
        </w:rPr>
        <w:t xml:space="preserve">Proposal </w:t>
      </w:r>
      <w:r w:rsidR="007F4E41">
        <w:rPr>
          <w:b/>
        </w:rPr>
        <w:t>3</w:t>
      </w:r>
      <w:r>
        <w:rPr>
          <w:b/>
        </w:rPr>
        <w:tab/>
      </w:r>
      <w:r w:rsidR="008B4CA2">
        <w:rPr>
          <w:b/>
        </w:rPr>
        <w:t xml:space="preserve">NCC is used as input for the key derivation at handover and RRC connection resume/re-establishment.  </w:t>
      </w:r>
    </w:p>
    <w:p w14:paraId="013D3611" w14:textId="77777777" w:rsidR="006231AC" w:rsidRDefault="006231AC" w:rsidP="006231AC">
      <w:pPr>
        <w:ind w:left="1418" w:hanging="1418"/>
        <w:rPr>
          <w:b/>
        </w:rPr>
      </w:pPr>
      <w:r w:rsidRPr="001B048D">
        <w:rPr>
          <w:b/>
        </w:rPr>
        <w:lastRenderedPageBreak/>
        <w:t xml:space="preserve">Proposal </w:t>
      </w:r>
      <w:r>
        <w:rPr>
          <w:b/>
        </w:rPr>
        <w:t>4</w:t>
      </w:r>
      <w:r>
        <w:rPr>
          <w:b/>
        </w:rPr>
        <w:tab/>
        <w:t>Confirm SA3 assumption that at handover the UE should use the “PCI” and “EARFCN-DL” parameter (or equivalent NR parameters) as input to the key derivation. The derived key does not need to be changed if the “PCI” later changes.</w:t>
      </w:r>
    </w:p>
    <w:p w14:paraId="18231D3C" w14:textId="470C7834" w:rsidR="00DB6092" w:rsidRDefault="00DB6092" w:rsidP="00DB6092">
      <w:pPr>
        <w:ind w:left="1418" w:hanging="1418"/>
        <w:rPr>
          <w:b/>
        </w:rPr>
      </w:pPr>
      <w:r w:rsidRPr="001B048D">
        <w:rPr>
          <w:b/>
        </w:rPr>
        <w:t xml:space="preserve">Proposal </w:t>
      </w:r>
      <w:r w:rsidR="007F4E41">
        <w:rPr>
          <w:b/>
        </w:rPr>
        <w:t>5</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AEFE" w14:textId="77777777" w:rsidR="00B516B8" w:rsidRDefault="00B516B8">
      <w:r>
        <w:separator/>
      </w:r>
    </w:p>
  </w:endnote>
  <w:endnote w:type="continuationSeparator" w:id="0">
    <w:p w14:paraId="7AD4098A" w14:textId="77777777" w:rsidR="00B516B8" w:rsidRDefault="00B516B8">
      <w:r>
        <w:continuationSeparator/>
      </w:r>
    </w:p>
  </w:endnote>
  <w:endnote w:type="continuationNotice" w:id="1">
    <w:p w14:paraId="29E229A0" w14:textId="77777777" w:rsidR="00B516B8" w:rsidRDefault="00B51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45475EA8"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E2B1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E2B1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ACAE6" w14:textId="77777777" w:rsidR="00B516B8" w:rsidRDefault="00B516B8">
      <w:r>
        <w:separator/>
      </w:r>
    </w:p>
  </w:footnote>
  <w:footnote w:type="continuationSeparator" w:id="0">
    <w:p w14:paraId="55FE197B" w14:textId="77777777" w:rsidR="00B516B8" w:rsidRDefault="00B516B8">
      <w:r>
        <w:continuationSeparator/>
      </w:r>
    </w:p>
  </w:footnote>
  <w:footnote w:type="continuationNotice" w:id="1">
    <w:p w14:paraId="5D3EB9B2" w14:textId="77777777" w:rsidR="00B516B8" w:rsidRDefault="00B51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27A2D"/>
    <w:rsid w:val="00132FD0"/>
    <w:rsid w:val="001344C0"/>
    <w:rsid w:val="001346FA"/>
    <w:rsid w:val="00135252"/>
    <w:rsid w:val="00137728"/>
    <w:rsid w:val="00137AB5"/>
    <w:rsid w:val="00137F0B"/>
    <w:rsid w:val="00142383"/>
    <w:rsid w:val="00143008"/>
    <w:rsid w:val="00143981"/>
    <w:rsid w:val="00146249"/>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6F4A"/>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B7E4A"/>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5143"/>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592A"/>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0D78"/>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3B5C"/>
    <w:rsid w:val="00444F56"/>
    <w:rsid w:val="0044528E"/>
    <w:rsid w:val="00446488"/>
    <w:rsid w:val="004517AA"/>
    <w:rsid w:val="00452B2A"/>
    <w:rsid w:val="00452CAC"/>
    <w:rsid w:val="00452E9A"/>
    <w:rsid w:val="00454DAD"/>
    <w:rsid w:val="0045652D"/>
    <w:rsid w:val="00457565"/>
    <w:rsid w:val="00457B71"/>
    <w:rsid w:val="00461F9F"/>
    <w:rsid w:val="00462FC1"/>
    <w:rsid w:val="004669E2"/>
    <w:rsid w:val="00470C31"/>
    <w:rsid w:val="00473217"/>
    <w:rsid w:val="004734D0"/>
    <w:rsid w:val="0047475A"/>
    <w:rsid w:val="0047556B"/>
    <w:rsid w:val="00477768"/>
    <w:rsid w:val="0048112F"/>
    <w:rsid w:val="00483BB6"/>
    <w:rsid w:val="0048412E"/>
    <w:rsid w:val="00486ACF"/>
    <w:rsid w:val="00492BC5"/>
    <w:rsid w:val="004964F1"/>
    <w:rsid w:val="00497227"/>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3DDB"/>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5B5A"/>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0D1D"/>
    <w:rsid w:val="005B1CDF"/>
    <w:rsid w:val="005B1F4F"/>
    <w:rsid w:val="005B35D7"/>
    <w:rsid w:val="005B392A"/>
    <w:rsid w:val="005B3AA3"/>
    <w:rsid w:val="005B40BD"/>
    <w:rsid w:val="005B47AE"/>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4CBD"/>
    <w:rsid w:val="00615440"/>
    <w:rsid w:val="00615B9D"/>
    <w:rsid w:val="00617897"/>
    <w:rsid w:val="00620A71"/>
    <w:rsid w:val="00620D80"/>
    <w:rsid w:val="006231AC"/>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97BDD"/>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C7FAE"/>
    <w:rsid w:val="006D43DA"/>
    <w:rsid w:val="006D5B70"/>
    <w:rsid w:val="006D5D33"/>
    <w:rsid w:val="006D5F1C"/>
    <w:rsid w:val="006D6F08"/>
    <w:rsid w:val="006E062C"/>
    <w:rsid w:val="006E282E"/>
    <w:rsid w:val="006E28B7"/>
    <w:rsid w:val="006E2B12"/>
    <w:rsid w:val="006E3310"/>
    <w:rsid w:val="006E4AAA"/>
    <w:rsid w:val="006E4E39"/>
    <w:rsid w:val="006E565E"/>
    <w:rsid w:val="006E673D"/>
    <w:rsid w:val="006E70B5"/>
    <w:rsid w:val="006E74F9"/>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2B37"/>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A1C"/>
    <w:rsid w:val="007B3D2D"/>
    <w:rsid w:val="007B50AE"/>
    <w:rsid w:val="007B51DF"/>
    <w:rsid w:val="007C02EF"/>
    <w:rsid w:val="007C05DD"/>
    <w:rsid w:val="007C3D18"/>
    <w:rsid w:val="007C55C8"/>
    <w:rsid w:val="007C60BF"/>
    <w:rsid w:val="007C6565"/>
    <w:rsid w:val="007C6A07"/>
    <w:rsid w:val="007C7086"/>
    <w:rsid w:val="007C75A1"/>
    <w:rsid w:val="007C77A5"/>
    <w:rsid w:val="007D03D2"/>
    <w:rsid w:val="007D04E5"/>
    <w:rsid w:val="007D4F59"/>
    <w:rsid w:val="007D5901"/>
    <w:rsid w:val="007D7526"/>
    <w:rsid w:val="007E1DEB"/>
    <w:rsid w:val="007E4610"/>
    <w:rsid w:val="007E4715"/>
    <w:rsid w:val="007E505B"/>
    <w:rsid w:val="007E7091"/>
    <w:rsid w:val="007E784D"/>
    <w:rsid w:val="007F131B"/>
    <w:rsid w:val="007F275C"/>
    <w:rsid w:val="007F4E41"/>
    <w:rsid w:val="007F52E7"/>
    <w:rsid w:val="007F60D8"/>
    <w:rsid w:val="007F645F"/>
    <w:rsid w:val="00801A5D"/>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3738"/>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4CA2"/>
    <w:rsid w:val="008B507B"/>
    <w:rsid w:val="008B51A0"/>
    <w:rsid w:val="008B592A"/>
    <w:rsid w:val="008B79E5"/>
    <w:rsid w:val="008B7B5C"/>
    <w:rsid w:val="008B7EFE"/>
    <w:rsid w:val="008C0B3F"/>
    <w:rsid w:val="008C0C99"/>
    <w:rsid w:val="008C2017"/>
    <w:rsid w:val="008C3368"/>
    <w:rsid w:val="008C4958"/>
    <w:rsid w:val="008C4BAA"/>
    <w:rsid w:val="008C5ADE"/>
    <w:rsid w:val="008C6AE8"/>
    <w:rsid w:val="008C7573"/>
    <w:rsid w:val="008D34F1"/>
    <w:rsid w:val="008D39D8"/>
    <w:rsid w:val="008D5C4E"/>
    <w:rsid w:val="008D6D1A"/>
    <w:rsid w:val="008D743D"/>
    <w:rsid w:val="008D74B4"/>
    <w:rsid w:val="008E065E"/>
    <w:rsid w:val="008E0927"/>
    <w:rsid w:val="008E153D"/>
    <w:rsid w:val="008E1909"/>
    <w:rsid w:val="008E5EDA"/>
    <w:rsid w:val="008E6774"/>
    <w:rsid w:val="008F0729"/>
    <w:rsid w:val="008F1EAB"/>
    <w:rsid w:val="008F214C"/>
    <w:rsid w:val="008F33DC"/>
    <w:rsid w:val="008F42DC"/>
    <w:rsid w:val="008F477F"/>
    <w:rsid w:val="008F523A"/>
    <w:rsid w:val="008F58A4"/>
    <w:rsid w:val="00902350"/>
    <w:rsid w:val="00902E6A"/>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1DA"/>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6311"/>
    <w:rsid w:val="009A6511"/>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B69C8"/>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16B8"/>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57820"/>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289"/>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5F62"/>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3BD8"/>
    <w:rsid w:val="00E84956"/>
    <w:rsid w:val="00E85928"/>
    <w:rsid w:val="00E85D06"/>
    <w:rsid w:val="00E87822"/>
    <w:rsid w:val="00E90395"/>
    <w:rsid w:val="00E90E49"/>
    <w:rsid w:val="00E91176"/>
    <w:rsid w:val="00E917F9"/>
    <w:rsid w:val="00E9291C"/>
    <w:rsid w:val="00E93FFE"/>
    <w:rsid w:val="00E94F8A"/>
    <w:rsid w:val="00E951EC"/>
    <w:rsid w:val="00E9752B"/>
    <w:rsid w:val="00EA5062"/>
    <w:rsid w:val="00EA7A41"/>
    <w:rsid w:val="00EB031C"/>
    <w:rsid w:val="00EB077B"/>
    <w:rsid w:val="00EB4EA2"/>
    <w:rsid w:val="00EC27C6"/>
    <w:rsid w:val="00EC4207"/>
    <w:rsid w:val="00EC5653"/>
    <w:rsid w:val="00EC5730"/>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3D3E"/>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B7C10"/>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5NUHHDQN7SK2-1476151046-17852</_dlc_DocId>
    <_dlc_DocIdUrl xmlns="f166a696-7b5b-4ccd-9f0c-ffde0cceec81">
      <Url>https://ericsson.sharepoint.com/sites/star/_layouts/15/DocIdRedir.aspx?ID=5NUHHDQN7SK2-1476151046-17852</Url>
      <Description>5NUHHDQN7SK2-1476151046-17852</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0C6EB96F-EDA8-41D3-981B-2A1F7AE31FF4}">
  <ds:schemaRefs>
    <ds:schemaRef ds:uri="http://schemas.microsoft.com/sharepoint/events"/>
  </ds:schemaRefs>
</ds:datastoreItem>
</file>

<file path=customXml/itemProps3.xml><?xml version="1.0" encoding="utf-8"?>
<ds:datastoreItem xmlns:ds="http://schemas.openxmlformats.org/officeDocument/2006/customXml" ds:itemID="{6017BA71-F594-4219-AEE9-3A489DFB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42295B-94A0-40A6-B799-31483A28F8CD}">
  <ds:schemaRefs>
    <ds:schemaRef ds:uri="http://schemas.openxmlformats.org/package/2006/metadata/core-properties"/>
    <ds:schemaRef ds:uri="f166a696-7b5b-4ccd-9f0c-ffde0cceec81"/>
    <ds:schemaRef ds:uri="d8762117-8292-4133-b1c7-eab5c6487cfd"/>
    <ds:schemaRef ds:uri="http://purl.org/dc/elements/1.1/"/>
    <ds:schemaRef ds:uri="http://purl.org/dc/dcmitype/"/>
    <ds:schemaRef ds:uri="http://www.w3.org/XML/1998/namespace"/>
    <ds:schemaRef ds:uri="http://purl.org/dc/terms/"/>
    <ds:schemaRef ds:uri="http://schemas.microsoft.com/office/2006/documentManagement/types"/>
    <ds:schemaRef ds:uri="http://schemas.microsoft.com/office/infopath/2007/PartnerControls"/>
    <ds:schemaRef ds:uri="http://schemas.microsoft.com/sharepoint/v3"/>
    <ds:schemaRef ds:uri="http://schemas.microsoft.com/office/2006/metadata/properties"/>
  </ds:schemaRefs>
</ds:datastoreItem>
</file>

<file path=customXml/itemProps5.xml><?xml version="1.0" encoding="utf-8"?>
<ds:datastoreItem xmlns:ds="http://schemas.openxmlformats.org/officeDocument/2006/customXml" ds:itemID="{9E777151-5DAD-43E4-8732-8A50D5D07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3</Pages>
  <Words>1206</Words>
  <Characters>5865</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5</cp:revision>
  <cp:lastPrinted>2016-01-26T08:44:00Z</cp:lastPrinted>
  <dcterms:created xsi:type="dcterms:W3CDTF">2018-02-12T13:04:00Z</dcterms:created>
  <dcterms:modified xsi:type="dcterms:W3CDTF">2018-02-15T17:31:00Z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7c7d2635-c9c8-4e89-9806-38e8b5a7146c</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y fmtid="{D5CDD505-2E9C-101B-9397-08002B2CF9AE}" pid="15" name="EriCOLLProjectsTaxHTField0">
    <vt:lpwstr/>
  </property>
  <property fmtid="{D5CDD505-2E9C-101B-9397-08002B2CF9AE}" pid="16" name="EriCOLLCategoryTaxHTField0">
    <vt:lpwstr>Research|7f1f7aab-c784-40ec-8666-825d2ac7abef</vt:lpwstr>
  </property>
  <property fmtid="{D5CDD505-2E9C-101B-9397-08002B2CF9AE}" pid="17" name="EriCOLLCompetenceTaxHTField0">
    <vt:lpwstr/>
  </property>
  <property fmtid="{D5CDD505-2E9C-101B-9397-08002B2CF9AE}" pid="18" name="EriCOLLOrganizationUnitTaxHTField0">
    <vt:lpwstr>GFTE ER WAN APMBB Deployments ＆ Spectrum|644d70e3-351b-4c06-8b80-4aa32d170e18</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